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line="450" w:lineRule="atLeast"/>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2012</w:t>
      </w:r>
      <w:r>
        <w:rPr>
          <w:rFonts w:hint="eastAsia" w:ascii="宋体" w:hAnsi="宋体" w:eastAsia="宋体" w:cs="宋体"/>
          <w:b/>
          <w:bCs/>
          <w:color w:val="000000"/>
          <w:kern w:val="0"/>
          <w:sz w:val="24"/>
          <w:szCs w:val="24"/>
        </w:rPr>
        <w:t>生活饮用水卫生标准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1 范围</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本标准规定了生活饮用水水质卫生要求、生活饮用水水源水质卫生要求、集中式供水单位卫生要求、二次供水卫生要求、涉及生活饮用水卫生安全产品卫生要求、水质监测和水质检验方法。</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本标准适用于城乡各类集中式供水的生活饮用水，也适用于分散式供水的生活饮用水。</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2 规范性引用文件</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下列文件中的条款通过本标准的引用而成为本标准的条款。凡是标注日期的引用文件，其随后所有的修改(不包括勘误内容)或修订版均不适用于本标准，然而，鼓励根据本标准达成协议的各方研究是否可使用这些文件的最新版本。凡是不注明日期的引用文件，其最新版本适用于本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GB 3838 地表水环境质量标准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GB/T 5750 生活饮用水标准检验方法</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GB/T 14848 地下水质量标准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GB 17051 二次供水设施卫生规范</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GB/T 17218 饮用水化学处理剂卫生安全性评价</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GB/T 17219 生活饮用水输配水设备及防护材料的安全性评价标准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CJ/T 206 城市供水水质标准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SL 308 村镇供水单位资质标准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卫生部 生活饮用水集中式供水单位卫生规范</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3 术语和定义</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下列术语和定义适用于本标准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3.1 生活饮用水 drinking water</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供人生活的饮水和生活用水。</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3.2 供水方式 type of water supply</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3.2.1集中式供水 central water supply</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自水源集中取水，通过输配水管网送到用户或者公共取水点的供水方式，包括自建设施供水。为用户提供日常饮用水的供水站和为公共场所、居民社区提供的分质供水也属于集中式供水。</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3.2.2 二次供水 secondary water supply</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集中式供水在入户之前经再度储存、加压和消毒或深度处理，通过管道或容器输送给用户的供水方式。</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3.2.3 农村小型集中式供水 small central water supply for rural areas</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日供水在1000m3以下(或供水人口在1万人以下)的农村集中式供水。</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3.2.4 分散式供水 non-central water supply</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用户直接从水源取水，未经任何设施或仅有简易设施的供水方式。</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3.3 常规指标 regular indices</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能反映生活饮用水水质基本状况的水质指标。</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3.4 非常规指标 non-regular indices</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根据地区、时间或特殊情况需要的生活饮用水水质指标。</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4 生活饮用水水质卫生要求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 生活饮用水水质应符合下列基本要求，保证用户饮用安全。</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4.1.1 生活饮用水中不得含有病原微生物。</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4.1.2 生活饮用水中化学物质不得危害人体健康。</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4.1.3 生活饮用水中放射性物质不得危害人体健康。</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4.1.4 生活饮用水的感官性状良好。</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4.1.5 生活饮用水应经消毒处理。</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4.1.6 生活饮用水水质应符合表1和表3卫生要求。集中式供水出厂水中消毒剂限值、出厂水和管网末梢水中消毒剂余量均应符合表2要求。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4.1.7 农村小型集中式供水和分散式供水的水质因条件限制，部分指标可暂按照表4执行，其余指标仍按表1、表2和表3执行。</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4.1.8 当发生影响水质的突发性公共事件时，经市级以上人民政府批准，感官性状和一般化学指标可适当放宽。</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4.1.9 当饮用水中含有附录A表A.1所列指标时，可参考此表限值评价。</w:t>
      </w:r>
    </w:p>
    <w:p>
      <w:pPr>
        <w:widowControl/>
        <w:spacing w:line="450" w:lineRule="atLeast"/>
        <w:jc w:val="center"/>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表1     水质常规指标及限值</w:t>
      </w:r>
    </w:p>
    <w:tbl>
      <w:tblPr>
        <w:tblStyle w:val="5"/>
        <w:tblW w:w="9000" w:type="dxa"/>
        <w:jc w:val="center"/>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7959"/>
        <w:gridCol w:w="1041"/>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b/>
                <w:bCs/>
                <w:color w:val="000000"/>
                <w:kern w:val="0"/>
                <w:sz w:val="24"/>
                <w:szCs w:val="24"/>
              </w:rPr>
              <w:t>指    标 </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b/>
                <w:bCs/>
                <w:color w:val="000000"/>
                <w:kern w:val="0"/>
                <w:sz w:val="24"/>
                <w:szCs w:val="24"/>
              </w:rPr>
              <w:t>限    值</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1、微生物指标①</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总大肠菌群（MPN/100mL或CFU/100mL）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不得检出</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耐热大肠菌群（MPN/100mL或CFU/100mL）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不得检出</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大肠埃希氏菌（MPN/100mL或CFU/100mL）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不得检出</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菌落总数（CFU/mL）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2、毒理指标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砷（mg/L）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镉（mg/L）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铬（六价，mg/L）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铅（mg/L）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汞（mg/L）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硒（mg/L）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氰化物（mg/L）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氟化物（mg/L）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硝酸盐（以N计，mg/L）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10 地下水源限制时为20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三氯甲烷（mg/L）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0.06</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四氯化碳（mg/L）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溴酸盐（使用臭氧时，mg/L）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甲醛（使用臭氧时，mg/L）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0.9</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亚氯酸盐（使用二氧化氯消毒时，mg/L）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氯酸盐（使用复合二氧化氯消毒时，mg/L）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3、感官性状和一般化学指标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色度（铂钴色度单位）</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浑浊度（NTU-散射浊度单位）</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 水源与净水技术条件限制时为3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臭和味</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无异臭、异味</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肉眼可见物</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无</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pH （pH单位）</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不小于6.5且不大于8.5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铝（mg/L）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铁（mg/L）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锰（mg/L）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铜（mg/L）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锌（mg/L）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氯化物（mg/L）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250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硫酸盐（mg/L）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250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溶解性总固体（mg/L）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1000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总硬度(以CaCO3计，mg/L）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450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耗氧量（CODMn法，以O2计，mg/L）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 水源限制，原水耗氧量＞6mg/L时为5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挥发酚类（以苯酚计，mg/L）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阴离子合成洗涤剂（mg/L）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4、放射性指标②</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指导值</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总α放射性（Bq/L）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791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总β放射性（Bq/L）</w:t>
            </w:r>
          </w:p>
        </w:tc>
        <w:tc>
          <w:tcPr>
            <w:tcW w:w="996"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①　MPN表示最可能数；CFU表示菌落形成单位。当水样检出总大肠菌群时，应进一步检验大肠埃希氏菌或耐热大肠菌群；水样未检出总大肠菌群，不必检验大肠埃希氏菌或耐热大肠菌群。 ②　放射性指标超过指导值，应进行核素分析和评价，判定能否饮用。</w:t>
            </w:r>
          </w:p>
        </w:tc>
      </w:tr>
    </w:tbl>
    <w:p>
      <w:pPr>
        <w:widowControl/>
        <w:spacing w:line="450" w:lineRule="atLeast"/>
        <w:jc w:val="center"/>
        <w:rPr>
          <w:rFonts w:ascii="宋体" w:hAnsi="宋体" w:eastAsia="宋体" w:cs="宋体"/>
          <w:color w:val="000000"/>
          <w:kern w:val="0"/>
          <w:sz w:val="24"/>
          <w:szCs w:val="24"/>
        </w:rPr>
      </w:pPr>
      <w:r>
        <w:rPr>
          <w:rFonts w:hint="eastAsia" w:ascii="宋体" w:hAnsi="宋体" w:eastAsia="宋体" w:cs="宋体"/>
          <w:b/>
          <w:bCs/>
          <w:color w:val="000000"/>
          <w:kern w:val="0"/>
          <w:sz w:val="24"/>
          <w:szCs w:val="24"/>
        </w:rPr>
        <w:t>表2   饮用水中消毒剂常规指标及要求</w:t>
      </w:r>
    </w:p>
    <w:tbl>
      <w:tblPr>
        <w:tblStyle w:val="5"/>
        <w:tblW w:w="9000" w:type="dxa"/>
        <w:jc w:val="center"/>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2989"/>
        <w:gridCol w:w="1280"/>
        <w:gridCol w:w="1254"/>
        <w:gridCol w:w="1254"/>
        <w:gridCol w:w="2223"/>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294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消毒剂名称</w:t>
            </w:r>
          </w:p>
        </w:tc>
        <w:tc>
          <w:tcPr>
            <w:tcW w:w="1250"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与水接触时间</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出厂水 中限值</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出厂水 中余量</w:t>
            </w:r>
          </w:p>
        </w:tc>
        <w:tc>
          <w:tcPr>
            <w:tcW w:w="217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管网末梢水中余量</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294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氯气及游离氯制剂（游离氯,mg/L）</w:t>
            </w:r>
          </w:p>
        </w:tc>
        <w:tc>
          <w:tcPr>
            <w:tcW w:w="1250"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至少30min</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c>
          <w:tcPr>
            <w:tcW w:w="217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294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一氯胺（总氯，mg/L）</w:t>
            </w:r>
          </w:p>
        </w:tc>
        <w:tc>
          <w:tcPr>
            <w:tcW w:w="1250"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至少120min</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≥0.5</w:t>
            </w:r>
          </w:p>
        </w:tc>
        <w:tc>
          <w:tcPr>
            <w:tcW w:w="217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294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臭氧（O3，mg/L）</w:t>
            </w:r>
          </w:p>
        </w:tc>
        <w:tc>
          <w:tcPr>
            <w:tcW w:w="1250"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至少12min</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p>
        </w:tc>
        <w:tc>
          <w:tcPr>
            <w:tcW w:w="217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 如加氯， 总氯≥0.05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294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二氧化氯（ClO2，mg/L）</w:t>
            </w:r>
          </w:p>
        </w:tc>
        <w:tc>
          <w:tcPr>
            <w:tcW w:w="1250"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至少30min</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0.8</w:t>
            </w:r>
          </w:p>
        </w:tc>
        <w:tc>
          <w:tcPr>
            <w:tcW w:w="1224"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≥0.1</w:t>
            </w:r>
          </w:p>
        </w:tc>
        <w:tc>
          <w:tcPr>
            <w:tcW w:w="217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bl>
    <w:p>
      <w:pPr>
        <w:widowControl/>
        <w:spacing w:line="450" w:lineRule="atLeast"/>
        <w:jc w:val="center"/>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表3   水质非常规指标及限值</w:t>
      </w:r>
    </w:p>
    <w:tbl>
      <w:tblPr>
        <w:tblStyle w:val="5"/>
        <w:tblW w:w="9000" w:type="dxa"/>
        <w:jc w:val="center"/>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4607"/>
        <w:gridCol w:w="4393"/>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指    标</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限    值</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1、微生物指标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贾第鞭毛虫（个/10L）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隐孢子虫（个/10L）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2、毒理指标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锑（mg/L）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钡（mg/L）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铍（mg/L）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硼（mg/L）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钼（mg/L）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镍（mg/L）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银（mg/L）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铊（mg/L）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氯化氰 （以CN-计，mg/L）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一氯二溴甲烷（mg/L）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二氯一溴甲烷（mg/L）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0.06</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二氯乙酸（mg/L）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1,2-二氯乙烷（mg/L）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二氯甲烷（mg/L）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三卤甲烷（三氯甲烷、一氯二溴甲烷、二氯一溴甲烷、三溴甲烷的总和）</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该类化合物中各种化合物的实测浓度与其各自限值的比值之和不超过1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1,1,1-三氯乙烷（mg/L）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三氯乙酸（mg/L）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三氯乙醛（mg/L）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2,4,6-三氯酚（mg/L）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三溴甲烷（mg/L）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七氯（mg/L）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0.0004</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马拉硫磷（mg/L）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0.25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五氯酚（mg/L）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0.009</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六六六（总量，mg/L）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六氯苯（mg/L）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乐果（mg/L）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0.08</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对硫磷（mg/L）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灭草松（mg/L）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甲基对硫磷（mg/L）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百菌清（mg/L）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呋喃丹（mg/L）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林丹（mg/L）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毒死蜱（mg/L）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草甘膦（mg/L）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敌敌畏（mg/L）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莠去津（mg/L）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溴氰菊酯（mg/L）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2,4-滴（mg/L）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滴滴涕（mg/L）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乙苯（mg/L）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二甲苯（mg/L）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1,1-二氯乙烯（mg/L）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1,2-二氯乙烯（mg/L）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1,2-二氯苯（mg/L）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1,4-二氯苯（mg/L）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三氯乙烯（mg/L）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三氯苯（总量，mg/L）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六氯丁二烯（mg/L）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0.0006</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丙烯酰胺（mg/L）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四氯乙烯（mg/L）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0.04</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甲苯（mg/L）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邻苯二甲酸二（2-乙基己基）酯（mg/L）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0.008</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环氧氯丙烷（mg/L）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0.0004</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苯乙烯（mg/L）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苯并(a)芘（mg/L）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氯乙烯（mg/L）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氯苯（mg/L）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微囊藻毒素-LR（mg/L）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3、感官性状和一般化学指标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氨氮（以N计，mg/L）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硫化物（mg/L） </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562"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钠（mg/L）</w:t>
            </w:r>
          </w:p>
        </w:tc>
        <w:tc>
          <w:tcPr>
            <w:tcW w:w="4348"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200</w:t>
            </w:r>
          </w:p>
        </w:tc>
      </w:tr>
    </w:tbl>
    <w:p>
      <w:pPr>
        <w:widowControl/>
        <w:spacing w:line="450" w:lineRule="atLeast"/>
        <w:jc w:val="center"/>
        <w:rPr>
          <w:rFonts w:ascii="宋体" w:hAnsi="宋体" w:eastAsia="宋体" w:cs="宋体"/>
          <w:color w:val="000000"/>
          <w:kern w:val="0"/>
          <w:sz w:val="24"/>
          <w:szCs w:val="24"/>
        </w:rPr>
      </w:pPr>
      <w:r>
        <w:rPr>
          <w:rFonts w:hint="eastAsia" w:ascii="宋体" w:hAnsi="宋体" w:eastAsia="宋体" w:cs="宋体"/>
          <w:b/>
          <w:bCs/>
          <w:color w:val="000000"/>
          <w:kern w:val="0"/>
          <w:sz w:val="24"/>
          <w:szCs w:val="24"/>
        </w:rPr>
        <w:t>表4    农村小型集中式供水和分散式供水部分水质指标及限值</w:t>
      </w:r>
    </w:p>
    <w:tbl>
      <w:tblPr>
        <w:tblStyle w:val="5"/>
        <w:tblW w:w="9000" w:type="dxa"/>
        <w:jc w:val="center"/>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4714"/>
        <w:gridCol w:w="4286"/>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指    标</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限    值</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1、微生物指标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菌落总数（CFU/mL）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2、毒理指标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砷（mg/L）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氟化物（mg/L）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硝酸盐（以N计，mg/L）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8940" w:type="dxa"/>
            <w:gridSpan w:val="2"/>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3、感官性状和一般化学指标</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色度（铂钴色度单位）</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浑浊度（NTU-散射浊度单位）</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 水源与净水技术条件限制时为5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pH（pH单位）</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不小于6.5且不大于9.5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溶解性总固体（mg/L）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1500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总硬度 (以CaCO3计，mg/L)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550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耗氧量（CODMn法，以O2计，mg/L）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铁（mg/L）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锰（mg/L）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氯化物（mg/L）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466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硫酸盐（mg/L）</w:t>
            </w:r>
          </w:p>
        </w:tc>
        <w:tc>
          <w:tcPr>
            <w:tcW w:w="424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300</w:t>
            </w:r>
          </w:p>
        </w:tc>
      </w:tr>
    </w:tbl>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5 生活饮用水水源水质卫生要求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5.1 采用地表水为生活饮用水水源时应符合GB 3838要求。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5.2 采用地下水为生活饮用水水源时应符合GB/T 14848要求。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6 集中式供水单位卫生要求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6.1 集中式供水单位的卫生要求应按照卫生部《生活饮用水集中式供水单位卫生规范》执行。</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7 二次供水卫生要求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二次供水的设施和处理要求应按照GB 17051执行。</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8 涉及生活饮用水卫生安全产品卫生要求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8.1 处理生活饮用水采用的絮凝、助凝、消毒、氧化、吸附、pH调节、防锈、阻垢等化学处理剂不应污染生活饮用水，应符合GB/T 17218要求。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8.2 生活饮用水的输配水设备、防护材料和水处理材料不应污染生活饮用水，应符合GB/T 17219要求。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9 水质监测</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9.1 供水单位的水质检测</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供水单位的水质检测应符合以下要求。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9.1.1 供水单位的水质非常规指标选择由当地县级以上供水行政主管部门和卫生行政部门协商确定。</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9.1.2 城市集中式供水单位水质检测的采样点选择、检验项目和频率、合格率计算按照CJ/T 206执行。</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9.1.3 村镇集中式供水单位水质检测的采样点选择、检验项目和频率、合格率计算按照SL 308执行。</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9.1.4 供水单位水质检测结果应定期报送当地卫生行政部门，报送水质检测结果的内容和办法由当地供水行政主管部门和卫生行政部门商定。</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9.1.5 当饮用水水质发生异常时应及时报告当地供水行政主管部门和卫生行政部门。</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9.2 卫生监督的水质监测</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卫生监督的水质监测应符合以下要求。</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9.2.1 各级卫生行政部门应根据实际需要定期对各类供水单位的供水水质进行卫生监督、监测。</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9.2.2 当发生影响水质的突发性公共事件时，由县级以上卫生行政部门根据需要确定饮用水监督、监测方案。</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9.2.3卫生监督的水质监测范围、项目、频率由当地市级以上卫生行政部门确定。</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r>
        <w:rPr>
          <w:rFonts w:hint="eastAsia" w:ascii="宋体" w:hAnsi="宋体" w:eastAsia="宋体" w:cs="宋体"/>
          <w:b/>
          <w:bCs/>
          <w:color w:val="000000"/>
          <w:kern w:val="0"/>
          <w:sz w:val="24"/>
          <w:szCs w:val="24"/>
        </w:rPr>
        <w:t>10 水质检验方法</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生活饮用水水质检验应按照GB/T 5750执行。</w:t>
      </w:r>
    </w:p>
    <w:p>
      <w:pPr>
        <w:widowControl/>
        <w:spacing w:line="450" w:lineRule="atLeast"/>
        <w:jc w:val="center"/>
        <w:rPr>
          <w:rFonts w:hint="eastAsia" w:ascii="宋体" w:hAnsi="宋体" w:eastAsia="宋体" w:cs="宋体"/>
          <w:b/>
          <w:bCs/>
          <w:color w:val="000000"/>
          <w:kern w:val="0"/>
          <w:sz w:val="24"/>
          <w:szCs w:val="24"/>
        </w:rPr>
      </w:pPr>
    </w:p>
    <w:p>
      <w:pPr>
        <w:widowControl/>
        <w:spacing w:line="450" w:lineRule="atLeast"/>
        <w:jc w:val="center"/>
        <w:rPr>
          <w:rFonts w:hint="eastAsia" w:ascii="宋体" w:hAnsi="宋体" w:eastAsia="宋体" w:cs="宋体"/>
          <w:b/>
          <w:bCs/>
          <w:color w:val="000000"/>
          <w:kern w:val="0"/>
          <w:sz w:val="24"/>
          <w:szCs w:val="24"/>
        </w:rPr>
      </w:pPr>
    </w:p>
    <w:p>
      <w:pPr>
        <w:widowControl/>
        <w:spacing w:line="450" w:lineRule="atLeast"/>
        <w:jc w:val="center"/>
        <w:rPr>
          <w:rFonts w:hint="eastAsia" w:ascii="宋体" w:hAnsi="宋体" w:eastAsia="宋体" w:cs="宋体"/>
          <w:b/>
          <w:bCs/>
          <w:color w:val="000000"/>
          <w:kern w:val="0"/>
          <w:sz w:val="24"/>
          <w:szCs w:val="24"/>
        </w:rPr>
      </w:pPr>
    </w:p>
    <w:p>
      <w:pPr>
        <w:widowControl/>
        <w:spacing w:line="450" w:lineRule="atLeast"/>
        <w:jc w:val="center"/>
        <w:rPr>
          <w:rFonts w:hint="eastAsia" w:ascii="宋体" w:hAnsi="宋体" w:eastAsia="宋体" w:cs="宋体"/>
          <w:b/>
          <w:bCs/>
          <w:color w:val="000000"/>
          <w:kern w:val="0"/>
          <w:sz w:val="24"/>
          <w:szCs w:val="24"/>
        </w:rPr>
      </w:pPr>
    </w:p>
    <w:p>
      <w:pPr>
        <w:widowControl/>
        <w:spacing w:line="450" w:lineRule="atLeast"/>
        <w:jc w:val="center"/>
        <w:rPr>
          <w:rFonts w:hint="eastAsia" w:ascii="宋体" w:hAnsi="宋体" w:eastAsia="宋体" w:cs="宋体"/>
          <w:b/>
          <w:bCs/>
          <w:color w:val="000000"/>
          <w:kern w:val="0"/>
          <w:sz w:val="24"/>
          <w:szCs w:val="24"/>
        </w:rPr>
      </w:pPr>
    </w:p>
    <w:p>
      <w:pPr>
        <w:widowControl/>
        <w:spacing w:line="450" w:lineRule="atLeast"/>
        <w:jc w:val="center"/>
        <w:rPr>
          <w:rFonts w:hint="eastAsia" w:ascii="宋体" w:hAnsi="宋体" w:eastAsia="宋体" w:cs="宋体"/>
          <w:b/>
          <w:bCs/>
          <w:color w:val="000000"/>
          <w:kern w:val="0"/>
          <w:sz w:val="24"/>
          <w:szCs w:val="24"/>
        </w:rPr>
      </w:pPr>
    </w:p>
    <w:p>
      <w:pPr>
        <w:widowControl/>
        <w:spacing w:line="450" w:lineRule="atLeast"/>
        <w:jc w:val="center"/>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附 录 A</w:t>
      </w:r>
    </w:p>
    <w:p>
      <w:pPr>
        <w:widowControl/>
        <w:spacing w:line="450" w:lineRule="atLeas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p>
    <w:p>
      <w:pPr>
        <w:widowControl/>
        <w:spacing w:line="450" w:lineRule="atLeast"/>
        <w:jc w:val="center"/>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(资料性附录)</w:t>
      </w:r>
    </w:p>
    <w:p>
      <w:pPr>
        <w:widowControl/>
        <w:spacing w:line="450" w:lineRule="atLeast"/>
        <w:jc w:val="center"/>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rPr>
        <w:t>表A.1    生活饮用水水质参考指标及限值</w:t>
      </w:r>
    </w:p>
    <w:tbl>
      <w:tblPr>
        <w:tblStyle w:val="5"/>
        <w:tblW w:w="9000" w:type="dxa"/>
        <w:jc w:val="center"/>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6856"/>
        <w:gridCol w:w="2144"/>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指      标</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限     值</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肠球菌（CFU/100mL）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产气荚膜梭状芽孢杆菌（CFU/100mL）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二(2-乙基己基)己二酸酯（mg/L）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0.4</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二溴乙烯（mg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二噁英（2,3,7,8-TCDD，mg/L）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0.00000003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土臭素（二甲基萘烷醇，mg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五氯丙烷（mg/L）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双酚A（mg/L）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丙烯腈（mg/L）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丙烯酸（mg/L）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丙烯醛（mg/L）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四乙基铅（mg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戊二醛（mg/L）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甲基异莰醇-2（mg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石油类(总量，mg/L）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石棉（＞10mm，万/L）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700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亚硝酸盐（mg/L）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多环芳烃（总量，mg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0.002</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多氯联苯（总量，mg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邻苯二甲酸二乙酯（mg/L）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邻苯二甲酸二丁酯（mg/L）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0.003</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环烷酸（mg/L）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苯甲醚（mg/L）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总有机碳（TOC，mg/L）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萘酚-b（mg/L）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0.4</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黄原酸丁酯（mg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氯化乙基汞（mg /L）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0.0001</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硝基苯（mg/L）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0.017</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镭226和镭228（pCi/L）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Ex>
        <w:trPr>
          <w:tblCellSpacing w:w="15" w:type="dxa"/>
          <w:jc w:val="center"/>
        </w:trPr>
        <w:tc>
          <w:tcPr>
            <w:tcW w:w="6811"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氡（pCi/L）</w:t>
            </w:r>
          </w:p>
        </w:tc>
        <w:tc>
          <w:tcPr>
            <w:tcW w:w="2099" w:type="dxa"/>
            <w:tcBorders>
              <w:top w:val="outset" w:color="auto" w:sz="6" w:space="0"/>
              <w:left w:val="outset" w:color="auto" w:sz="6" w:space="0"/>
              <w:bottom w:val="outset" w:color="auto" w:sz="6" w:space="0"/>
              <w:right w:val="outset" w:color="auto" w:sz="6" w:space="0"/>
            </w:tcBorders>
            <w:tcMar>
              <w:top w:w="0" w:type="dxa"/>
              <w:left w:w="0" w:type="dxa"/>
              <w:bottom w:w="0" w:type="dxa"/>
              <w:right w:w="0" w:type="dxa"/>
            </w:tcMar>
            <w:vAlign w:val="center"/>
          </w:tcPr>
          <w:p>
            <w:pPr>
              <w:widowControl/>
              <w:spacing w:line="450" w:lineRule="atLeas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300</w:t>
            </w:r>
          </w:p>
        </w:tc>
      </w:tr>
    </w:tbl>
    <w:p>
      <w:pPr>
        <w:rPr>
          <w:rFonts w:hint="eastAsia"/>
        </w:rPr>
      </w:pPr>
      <w:bookmarkStart w:id="0" w:name="_GoBack"/>
      <w:bookmarkEnd w:id="0"/>
    </w:p>
    <w:sectPr>
      <w:headerReference r:id="rId4" w:type="default"/>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auto"/>
    <w:pitch w:val="default"/>
    <w:sig w:usb0="E10002FF" w:usb1="4000ACFF" w:usb2="00000009" w:usb3="00000000" w:csb0="0000019F" w:csb1="00000000"/>
  </w:font>
  <w:font w:name="Lucida Sans Unicode">
    <w:panose1 w:val="020B0602030504020204"/>
    <w:charset w:val="00"/>
    <w:family w:val="auto"/>
    <w:pitch w:val="default"/>
    <w:sig w:usb0="80001AFF" w:usb1="0000396B" w:usb2="00000000" w:usb3="00000000" w:csb0="0000003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r>
      <w:rPr>
        <w:rFonts w:ascii="Times New Roman" w:hAnsi="Times New Roman" w:eastAsia="宋体"/>
        <w:kern w:val="2"/>
        <w:sz w:val="18"/>
        <w:szCs w:val="22"/>
        <w:lang w:val="en-US" w:eastAsia="zh-CN" w:bidi="ar-SA"/>
      </w:rPr>
      <w:pict>
        <v:shape id="PowerPlusWaterMarkObject2024473467" o:spid="_x0000_s1025" type="#_x0000_t136" style="position:absolute;left:0;height:36.45pt;width:415.3pt;mso-position-horizontal:center;mso-position-horizontal-relative:margin;mso-position-vertical:center;mso-position-vertical-relative:margin;rotation:0f;z-index:-251658240;" o:ole="f" fillcolor="#00FFFF" filled="t" o:preferrelative="t" stroked="f" coordorigin="0,0" coordsize="21600,21600" adj="10800">
          <v:fill opacity="65%" focus="0%"/>
          <v:imagedata gain="65536f" blacklevel="0f" gamma="0"/>
          <o:lock v:ext="edit" position="f" selection="f" grouping="f" rotation="f" cropping="f" text="f" aspectratio="t"/>
          <v:textpath on="t" fitpath="t" trim="t" xscale="f" string="深圳市洁峰环保设备有限公司" style="v-text-align:center;font-family:宋体;font-size:36p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2265A"/>
    <w:rsid w:val="000009A4"/>
    <w:rsid w:val="000011CE"/>
    <w:rsid w:val="000016D4"/>
    <w:rsid w:val="00004452"/>
    <w:rsid w:val="00005A8E"/>
    <w:rsid w:val="000129CC"/>
    <w:rsid w:val="00012F02"/>
    <w:rsid w:val="0001786C"/>
    <w:rsid w:val="00046F4D"/>
    <w:rsid w:val="00047FC3"/>
    <w:rsid w:val="00072F32"/>
    <w:rsid w:val="0007533B"/>
    <w:rsid w:val="00080731"/>
    <w:rsid w:val="00083C2B"/>
    <w:rsid w:val="00085D98"/>
    <w:rsid w:val="00091ED5"/>
    <w:rsid w:val="00095B35"/>
    <w:rsid w:val="000A0B6C"/>
    <w:rsid w:val="000A292B"/>
    <w:rsid w:val="000A79BE"/>
    <w:rsid w:val="000B0AA1"/>
    <w:rsid w:val="000B1946"/>
    <w:rsid w:val="000B63B3"/>
    <w:rsid w:val="000C47E9"/>
    <w:rsid w:val="000C4964"/>
    <w:rsid w:val="000D20C4"/>
    <w:rsid w:val="000D318C"/>
    <w:rsid w:val="000D6FF3"/>
    <w:rsid w:val="000E3A34"/>
    <w:rsid w:val="000F4867"/>
    <w:rsid w:val="0011275A"/>
    <w:rsid w:val="001130E4"/>
    <w:rsid w:val="00113B77"/>
    <w:rsid w:val="00120CC6"/>
    <w:rsid w:val="00120D1E"/>
    <w:rsid w:val="0012265A"/>
    <w:rsid w:val="0013223A"/>
    <w:rsid w:val="00136D2E"/>
    <w:rsid w:val="00141206"/>
    <w:rsid w:val="0015009F"/>
    <w:rsid w:val="00151330"/>
    <w:rsid w:val="0016193D"/>
    <w:rsid w:val="00163A9B"/>
    <w:rsid w:val="001732D4"/>
    <w:rsid w:val="00175BE4"/>
    <w:rsid w:val="00180112"/>
    <w:rsid w:val="001839AA"/>
    <w:rsid w:val="00186BF4"/>
    <w:rsid w:val="00191E4C"/>
    <w:rsid w:val="00193E0E"/>
    <w:rsid w:val="00194799"/>
    <w:rsid w:val="001A0F0E"/>
    <w:rsid w:val="001A6696"/>
    <w:rsid w:val="001B1C59"/>
    <w:rsid w:val="001B7BA7"/>
    <w:rsid w:val="001C51FA"/>
    <w:rsid w:val="001D51B2"/>
    <w:rsid w:val="001D51C9"/>
    <w:rsid w:val="001E3EF8"/>
    <w:rsid w:val="001E5E39"/>
    <w:rsid w:val="001E6B24"/>
    <w:rsid w:val="001F7ED6"/>
    <w:rsid w:val="0020407B"/>
    <w:rsid w:val="00206200"/>
    <w:rsid w:val="00212F4A"/>
    <w:rsid w:val="00213042"/>
    <w:rsid w:val="0021617E"/>
    <w:rsid w:val="00223F16"/>
    <w:rsid w:val="00225C79"/>
    <w:rsid w:val="0022740E"/>
    <w:rsid w:val="00230406"/>
    <w:rsid w:val="00231CA3"/>
    <w:rsid w:val="00254032"/>
    <w:rsid w:val="00260627"/>
    <w:rsid w:val="002655FC"/>
    <w:rsid w:val="00296C20"/>
    <w:rsid w:val="002B2609"/>
    <w:rsid w:val="002B3BDB"/>
    <w:rsid w:val="002D1CC8"/>
    <w:rsid w:val="002D6EFB"/>
    <w:rsid w:val="002E527D"/>
    <w:rsid w:val="002F29B0"/>
    <w:rsid w:val="002F5863"/>
    <w:rsid w:val="00312F14"/>
    <w:rsid w:val="003177F0"/>
    <w:rsid w:val="00337CD1"/>
    <w:rsid w:val="0035198B"/>
    <w:rsid w:val="00353C12"/>
    <w:rsid w:val="00354D2E"/>
    <w:rsid w:val="00355DE1"/>
    <w:rsid w:val="0035638A"/>
    <w:rsid w:val="003653C3"/>
    <w:rsid w:val="00365F03"/>
    <w:rsid w:val="003775C9"/>
    <w:rsid w:val="00390948"/>
    <w:rsid w:val="003918B4"/>
    <w:rsid w:val="003929E0"/>
    <w:rsid w:val="0039410E"/>
    <w:rsid w:val="00394888"/>
    <w:rsid w:val="0039565F"/>
    <w:rsid w:val="003C365E"/>
    <w:rsid w:val="003C4C62"/>
    <w:rsid w:val="003C6EFD"/>
    <w:rsid w:val="003D2709"/>
    <w:rsid w:val="003D5782"/>
    <w:rsid w:val="003D7553"/>
    <w:rsid w:val="003E2BE7"/>
    <w:rsid w:val="003E4AA6"/>
    <w:rsid w:val="003E651E"/>
    <w:rsid w:val="003F0174"/>
    <w:rsid w:val="003F0B01"/>
    <w:rsid w:val="003F41D6"/>
    <w:rsid w:val="00401D82"/>
    <w:rsid w:val="00404D93"/>
    <w:rsid w:val="00420287"/>
    <w:rsid w:val="0042403D"/>
    <w:rsid w:val="00431C9C"/>
    <w:rsid w:val="00435444"/>
    <w:rsid w:val="0044373B"/>
    <w:rsid w:val="00443EE4"/>
    <w:rsid w:val="004440F1"/>
    <w:rsid w:val="0044451C"/>
    <w:rsid w:val="00445F05"/>
    <w:rsid w:val="00467032"/>
    <w:rsid w:val="00477CA9"/>
    <w:rsid w:val="00485C6D"/>
    <w:rsid w:val="00497B97"/>
    <w:rsid w:val="004A2FD0"/>
    <w:rsid w:val="004A3D3F"/>
    <w:rsid w:val="004A4666"/>
    <w:rsid w:val="004B4528"/>
    <w:rsid w:val="004B587A"/>
    <w:rsid w:val="004D03C6"/>
    <w:rsid w:val="004D14BB"/>
    <w:rsid w:val="004D7063"/>
    <w:rsid w:val="004E57EE"/>
    <w:rsid w:val="00505ACB"/>
    <w:rsid w:val="00514E69"/>
    <w:rsid w:val="005162B1"/>
    <w:rsid w:val="005230A5"/>
    <w:rsid w:val="00532A75"/>
    <w:rsid w:val="005362AE"/>
    <w:rsid w:val="00542600"/>
    <w:rsid w:val="00546529"/>
    <w:rsid w:val="00554B5B"/>
    <w:rsid w:val="00557C64"/>
    <w:rsid w:val="00561508"/>
    <w:rsid w:val="00562160"/>
    <w:rsid w:val="0056633B"/>
    <w:rsid w:val="00570A7D"/>
    <w:rsid w:val="00572E79"/>
    <w:rsid w:val="00575C94"/>
    <w:rsid w:val="00575EB6"/>
    <w:rsid w:val="00576146"/>
    <w:rsid w:val="00577452"/>
    <w:rsid w:val="00593631"/>
    <w:rsid w:val="00595B61"/>
    <w:rsid w:val="005A31EF"/>
    <w:rsid w:val="005A589B"/>
    <w:rsid w:val="005A7B41"/>
    <w:rsid w:val="005B0D03"/>
    <w:rsid w:val="005B7FBE"/>
    <w:rsid w:val="005C43E8"/>
    <w:rsid w:val="005D4DAE"/>
    <w:rsid w:val="005E3474"/>
    <w:rsid w:val="005F2DD3"/>
    <w:rsid w:val="005F31AD"/>
    <w:rsid w:val="005F643C"/>
    <w:rsid w:val="005F7910"/>
    <w:rsid w:val="00600498"/>
    <w:rsid w:val="006052FA"/>
    <w:rsid w:val="00611252"/>
    <w:rsid w:val="00614A78"/>
    <w:rsid w:val="006173DF"/>
    <w:rsid w:val="00617AE7"/>
    <w:rsid w:val="00621F1A"/>
    <w:rsid w:val="00622CF6"/>
    <w:rsid w:val="00624D8E"/>
    <w:rsid w:val="00630A59"/>
    <w:rsid w:val="00631D1C"/>
    <w:rsid w:val="00637F20"/>
    <w:rsid w:val="00641EA8"/>
    <w:rsid w:val="006446BA"/>
    <w:rsid w:val="006448BC"/>
    <w:rsid w:val="00652F77"/>
    <w:rsid w:val="00665229"/>
    <w:rsid w:val="0066671C"/>
    <w:rsid w:val="00667577"/>
    <w:rsid w:val="0067174F"/>
    <w:rsid w:val="00674013"/>
    <w:rsid w:val="0067696D"/>
    <w:rsid w:val="006943E2"/>
    <w:rsid w:val="006A255C"/>
    <w:rsid w:val="006A6900"/>
    <w:rsid w:val="006B4A35"/>
    <w:rsid w:val="006C1782"/>
    <w:rsid w:val="006C604C"/>
    <w:rsid w:val="006C7CE6"/>
    <w:rsid w:val="006D4BE9"/>
    <w:rsid w:val="006D6A7E"/>
    <w:rsid w:val="006E321D"/>
    <w:rsid w:val="006E34D4"/>
    <w:rsid w:val="006E6CA8"/>
    <w:rsid w:val="007025AC"/>
    <w:rsid w:val="00703B3E"/>
    <w:rsid w:val="007070B4"/>
    <w:rsid w:val="00707FA1"/>
    <w:rsid w:val="00716CFF"/>
    <w:rsid w:val="00717C61"/>
    <w:rsid w:val="007216AD"/>
    <w:rsid w:val="00723802"/>
    <w:rsid w:val="007261FE"/>
    <w:rsid w:val="007315F3"/>
    <w:rsid w:val="00731C15"/>
    <w:rsid w:val="0073289D"/>
    <w:rsid w:val="007337BF"/>
    <w:rsid w:val="00734E2D"/>
    <w:rsid w:val="00741036"/>
    <w:rsid w:val="007473A2"/>
    <w:rsid w:val="00751C63"/>
    <w:rsid w:val="0075503B"/>
    <w:rsid w:val="00756701"/>
    <w:rsid w:val="0076456C"/>
    <w:rsid w:val="00764D0D"/>
    <w:rsid w:val="00774AE4"/>
    <w:rsid w:val="00777021"/>
    <w:rsid w:val="00781B26"/>
    <w:rsid w:val="0078303D"/>
    <w:rsid w:val="00790090"/>
    <w:rsid w:val="00796844"/>
    <w:rsid w:val="007A074B"/>
    <w:rsid w:val="007A45CF"/>
    <w:rsid w:val="007B486A"/>
    <w:rsid w:val="007B62E9"/>
    <w:rsid w:val="007B7F5A"/>
    <w:rsid w:val="007C1570"/>
    <w:rsid w:val="007C1B97"/>
    <w:rsid w:val="007C308B"/>
    <w:rsid w:val="007C36DB"/>
    <w:rsid w:val="007D1008"/>
    <w:rsid w:val="007D3D3B"/>
    <w:rsid w:val="007D5F33"/>
    <w:rsid w:val="007F4F1F"/>
    <w:rsid w:val="00801B68"/>
    <w:rsid w:val="00807AC5"/>
    <w:rsid w:val="00811B96"/>
    <w:rsid w:val="00812380"/>
    <w:rsid w:val="0081399C"/>
    <w:rsid w:val="008152C6"/>
    <w:rsid w:val="0081578C"/>
    <w:rsid w:val="0081694C"/>
    <w:rsid w:val="00821ACB"/>
    <w:rsid w:val="008235E2"/>
    <w:rsid w:val="0082681A"/>
    <w:rsid w:val="00826D09"/>
    <w:rsid w:val="0082739B"/>
    <w:rsid w:val="008353F0"/>
    <w:rsid w:val="00835F1A"/>
    <w:rsid w:val="00837472"/>
    <w:rsid w:val="00840C72"/>
    <w:rsid w:val="00843299"/>
    <w:rsid w:val="0084766B"/>
    <w:rsid w:val="00857DD7"/>
    <w:rsid w:val="00862235"/>
    <w:rsid w:val="00865CD3"/>
    <w:rsid w:val="0087079B"/>
    <w:rsid w:val="00870C13"/>
    <w:rsid w:val="00870F37"/>
    <w:rsid w:val="00876F62"/>
    <w:rsid w:val="008817D5"/>
    <w:rsid w:val="0088561C"/>
    <w:rsid w:val="008859FF"/>
    <w:rsid w:val="008936CB"/>
    <w:rsid w:val="008948FE"/>
    <w:rsid w:val="008A0C47"/>
    <w:rsid w:val="008A2424"/>
    <w:rsid w:val="008A51EE"/>
    <w:rsid w:val="008D4CB1"/>
    <w:rsid w:val="008D7095"/>
    <w:rsid w:val="008E3DA9"/>
    <w:rsid w:val="008E5232"/>
    <w:rsid w:val="009051E0"/>
    <w:rsid w:val="009072AD"/>
    <w:rsid w:val="00916AFA"/>
    <w:rsid w:val="00920A3C"/>
    <w:rsid w:val="009366F1"/>
    <w:rsid w:val="009505AE"/>
    <w:rsid w:val="009553D2"/>
    <w:rsid w:val="00955B69"/>
    <w:rsid w:val="00962C9F"/>
    <w:rsid w:val="00966E11"/>
    <w:rsid w:val="009676B5"/>
    <w:rsid w:val="00984B65"/>
    <w:rsid w:val="009921D3"/>
    <w:rsid w:val="009A5417"/>
    <w:rsid w:val="009A6E8A"/>
    <w:rsid w:val="009B1CC0"/>
    <w:rsid w:val="009B3A48"/>
    <w:rsid w:val="009B745F"/>
    <w:rsid w:val="009D7396"/>
    <w:rsid w:val="009E2CC4"/>
    <w:rsid w:val="009E691F"/>
    <w:rsid w:val="009E6E60"/>
    <w:rsid w:val="009F0067"/>
    <w:rsid w:val="009F62A4"/>
    <w:rsid w:val="009F70BC"/>
    <w:rsid w:val="009F7280"/>
    <w:rsid w:val="00A009A4"/>
    <w:rsid w:val="00A02C10"/>
    <w:rsid w:val="00A03248"/>
    <w:rsid w:val="00A052C9"/>
    <w:rsid w:val="00A14CD7"/>
    <w:rsid w:val="00A25B98"/>
    <w:rsid w:val="00A26B17"/>
    <w:rsid w:val="00A30340"/>
    <w:rsid w:val="00A3057D"/>
    <w:rsid w:val="00A36251"/>
    <w:rsid w:val="00A42079"/>
    <w:rsid w:val="00A46086"/>
    <w:rsid w:val="00A51A87"/>
    <w:rsid w:val="00A5335D"/>
    <w:rsid w:val="00A54E80"/>
    <w:rsid w:val="00A55086"/>
    <w:rsid w:val="00A550C9"/>
    <w:rsid w:val="00A632C9"/>
    <w:rsid w:val="00A7460B"/>
    <w:rsid w:val="00A756DA"/>
    <w:rsid w:val="00A80E09"/>
    <w:rsid w:val="00A83DF9"/>
    <w:rsid w:val="00A8764D"/>
    <w:rsid w:val="00A90946"/>
    <w:rsid w:val="00A912F8"/>
    <w:rsid w:val="00AA09D4"/>
    <w:rsid w:val="00AA3312"/>
    <w:rsid w:val="00AA3BB9"/>
    <w:rsid w:val="00AA4463"/>
    <w:rsid w:val="00AB1783"/>
    <w:rsid w:val="00AB5001"/>
    <w:rsid w:val="00AB5681"/>
    <w:rsid w:val="00AC18F2"/>
    <w:rsid w:val="00AD0F41"/>
    <w:rsid w:val="00AE017C"/>
    <w:rsid w:val="00AE4BEC"/>
    <w:rsid w:val="00AE6235"/>
    <w:rsid w:val="00AF311C"/>
    <w:rsid w:val="00B115DB"/>
    <w:rsid w:val="00B21B3B"/>
    <w:rsid w:val="00B302CB"/>
    <w:rsid w:val="00B40389"/>
    <w:rsid w:val="00B4430F"/>
    <w:rsid w:val="00B46875"/>
    <w:rsid w:val="00B54F23"/>
    <w:rsid w:val="00B608D3"/>
    <w:rsid w:val="00B633B3"/>
    <w:rsid w:val="00B732C4"/>
    <w:rsid w:val="00B749FB"/>
    <w:rsid w:val="00B9760E"/>
    <w:rsid w:val="00BA497E"/>
    <w:rsid w:val="00BA6D0E"/>
    <w:rsid w:val="00BB0CBD"/>
    <w:rsid w:val="00BB32F8"/>
    <w:rsid w:val="00BB3396"/>
    <w:rsid w:val="00BB50F8"/>
    <w:rsid w:val="00BB5D25"/>
    <w:rsid w:val="00BC060E"/>
    <w:rsid w:val="00BC0818"/>
    <w:rsid w:val="00BC209D"/>
    <w:rsid w:val="00BC3848"/>
    <w:rsid w:val="00BD195B"/>
    <w:rsid w:val="00BD2696"/>
    <w:rsid w:val="00BD795D"/>
    <w:rsid w:val="00BE1599"/>
    <w:rsid w:val="00BE23FC"/>
    <w:rsid w:val="00BF6C75"/>
    <w:rsid w:val="00C00885"/>
    <w:rsid w:val="00C01088"/>
    <w:rsid w:val="00C24B2B"/>
    <w:rsid w:val="00C3487B"/>
    <w:rsid w:val="00C413DE"/>
    <w:rsid w:val="00C56FA7"/>
    <w:rsid w:val="00C57B46"/>
    <w:rsid w:val="00C61066"/>
    <w:rsid w:val="00C675B8"/>
    <w:rsid w:val="00C67AE1"/>
    <w:rsid w:val="00C71316"/>
    <w:rsid w:val="00C77486"/>
    <w:rsid w:val="00C84972"/>
    <w:rsid w:val="00C86222"/>
    <w:rsid w:val="00C92E0B"/>
    <w:rsid w:val="00C92FEB"/>
    <w:rsid w:val="00C9796C"/>
    <w:rsid w:val="00CA1C11"/>
    <w:rsid w:val="00CA61AF"/>
    <w:rsid w:val="00CA7240"/>
    <w:rsid w:val="00CB4C29"/>
    <w:rsid w:val="00CC142A"/>
    <w:rsid w:val="00CE3A67"/>
    <w:rsid w:val="00CE6B03"/>
    <w:rsid w:val="00CF292C"/>
    <w:rsid w:val="00CF35DB"/>
    <w:rsid w:val="00CF3BF4"/>
    <w:rsid w:val="00CF485B"/>
    <w:rsid w:val="00CF703B"/>
    <w:rsid w:val="00D0006A"/>
    <w:rsid w:val="00D021EF"/>
    <w:rsid w:val="00D0303C"/>
    <w:rsid w:val="00D27E41"/>
    <w:rsid w:val="00D30857"/>
    <w:rsid w:val="00D321BE"/>
    <w:rsid w:val="00D4291B"/>
    <w:rsid w:val="00D55A93"/>
    <w:rsid w:val="00D60366"/>
    <w:rsid w:val="00D65D61"/>
    <w:rsid w:val="00D70962"/>
    <w:rsid w:val="00D7229D"/>
    <w:rsid w:val="00D727AA"/>
    <w:rsid w:val="00D739A5"/>
    <w:rsid w:val="00D829DC"/>
    <w:rsid w:val="00D834BD"/>
    <w:rsid w:val="00D874B0"/>
    <w:rsid w:val="00DA26CB"/>
    <w:rsid w:val="00DA4531"/>
    <w:rsid w:val="00DB0C1E"/>
    <w:rsid w:val="00DC47C0"/>
    <w:rsid w:val="00DC4E27"/>
    <w:rsid w:val="00DD3317"/>
    <w:rsid w:val="00DD6DEE"/>
    <w:rsid w:val="00DF4499"/>
    <w:rsid w:val="00E00136"/>
    <w:rsid w:val="00E03869"/>
    <w:rsid w:val="00E13857"/>
    <w:rsid w:val="00E14872"/>
    <w:rsid w:val="00E21714"/>
    <w:rsid w:val="00E2687D"/>
    <w:rsid w:val="00E30C19"/>
    <w:rsid w:val="00E3203C"/>
    <w:rsid w:val="00E3476E"/>
    <w:rsid w:val="00E43E22"/>
    <w:rsid w:val="00E50CC2"/>
    <w:rsid w:val="00E51E9A"/>
    <w:rsid w:val="00E53BD5"/>
    <w:rsid w:val="00E5676B"/>
    <w:rsid w:val="00E70B2E"/>
    <w:rsid w:val="00E71845"/>
    <w:rsid w:val="00E737DC"/>
    <w:rsid w:val="00E80BE5"/>
    <w:rsid w:val="00E910CC"/>
    <w:rsid w:val="00EA2F77"/>
    <w:rsid w:val="00EA60FE"/>
    <w:rsid w:val="00EC5E72"/>
    <w:rsid w:val="00EC7AD8"/>
    <w:rsid w:val="00ED33DA"/>
    <w:rsid w:val="00EE365F"/>
    <w:rsid w:val="00EE530E"/>
    <w:rsid w:val="00EF0295"/>
    <w:rsid w:val="00EF13C7"/>
    <w:rsid w:val="00EF62DF"/>
    <w:rsid w:val="00EF7700"/>
    <w:rsid w:val="00F01B74"/>
    <w:rsid w:val="00F05C18"/>
    <w:rsid w:val="00F0636C"/>
    <w:rsid w:val="00F10F5A"/>
    <w:rsid w:val="00F14FC5"/>
    <w:rsid w:val="00F238A7"/>
    <w:rsid w:val="00F31980"/>
    <w:rsid w:val="00F34DA7"/>
    <w:rsid w:val="00F4513F"/>
    <w:rsid w:val="00F47D75"/>
    <w:rsid w:val="00F52DE0"/>
    <w:rsid w:val="00F54B2A"/>
    <w:rsid w:val="00F55581"/>
    <w:rsid w:val="00F576D9"/>
    <w:rsid w:val="00F611D2"/>
    <w:rsid w:val="00F64FE8"/>
    <w:rsid w:val="00F6669D"/>
    <w:rsid w:val="00F7104E"/>
    <w:rsid w:val="00F87A14"/>
    <w:rsid w:val="00FA2BE4"/>
    <w:rsid w:val="00FA5149"/>
    <w:rsid w:val="00FA60DF"/>
    <w:rsid w:val="00FA68AB"/>
    <w:rsid w:val="00FB0110"/>
    <w:rsid w:val="00FB062C"/>
    <w:rsid w:val="00FB30A7"/>
    <w:rsid w:val="00FB6355"/>
    <w:rsid w:val="00FB711C"/>
    <w:rsid w:val="00FB755F"/>
    <w:rsid w:val="00FC1FC7"/>
    <w:rsid w:val="00FC3B5D"/>
    <w:rsid w:val="00FF182F"/>
    <w:rsid w:val="7E1A6CB9"/>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uiPriority w:val="99"/>
    <w:tblPr>
      <w:tblStyle w:val="5"/>
      <w:tblLayout w:type="fixed"/>
      <w:tblCellMar>
        <w:top w:w="0" w:type="dxa"/>
        <w:left w:w="108" w:type="dxa"/>
        <w:bottom w:w="0" w:type="dxa"/>
        <w:right w:w="108" w:type="dxa"/>
      </w:tblCellMar>
    </w:tblPr>
    <w:tcPr>
      <w:textDirection w:val="lrTb"/>
    </w:tcPr>
  </w:style>
  <w:style w:type="paragraph" w:styleId="2">
    <w:name w:val="footer"/>
    <w:basedOn w:val="1"/>
    <w:unhideWhenUsed/>
    <w:uiPriority w:val="0"/>
    <w:pPr>
      <w:tabs>
        <w:tab w:val="center" w:pos="4153"/>
        <w:tab w:val="right" w:pos="8306"/>
      </w:tabs>
      <w:snapToGrid w:val="0"/>
      <w:jc w:val="left"/>
    </w:pPr>
    <w:rPr>
      <w:sz w:val="18"/>
    </w:rPr>
  </w:style>
  <w:style w:type="paragraph" w:styleId="3">
    <w:name w:val="header"/>
    <w:basedOn w:val="1"/>
    <w:unhideWhenUsed/>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855</Words>
  <Characters>4877</Characters>
  <Lines>40</Lines>
  <Paragraphs>11</Paragraphs>
  <TotalTime>0</TotalTime>
  <ScaleCrop>false</ScaleCrop>
  <LinksUpToDate>false</LinksUpToDate>
  <CharactersWithSpaces>0</CharactersWithSpaces>
  <Application>WPS Office_9.1.0.5060_{F1E327BC-269C-435d-A152-05C5408002CA}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2014-02-13T07:05:00Z</dcterms:created>
  <dc:creator>wucun</dc:creator>
  <cp:lastModifiedBy>Administrator</cp:lastModifiedBy>
  <dcterms:modified xsi:type="dcterms:W3CDTF">2015-05-07T09:05:15Z</dcterms:modified>
  <dc:title>2012生活饮用水卫生标准</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2052-9.1.0.5060</vt:lpwstr>
  </property>
</Properties>
</file>